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DB77" w14:textId="54047405" w:rsidR="00B83E6A" w:rsidRPr="00B83E6A" w:rsidRDefault="00B83E6A" w:rsidP="00B83E6A">
      <w:pPr>
        <w:rPr>
          <w:b/>
          <w:bCs/>
          <w:u w:val="single"/>
        </w:rPr>
      </w:pPr>
      <w:r w:rsidRPr="00B83E6A">
        <w:rPr>
          <w:b/>
          <w:bCs/>
          <w:u w:val="single"/>
        </w:rPr>
        <w:t>Rückblick auf das Jahr 202</w:t>
      </w:r>
      <w:r w:rsidRPr="00B83E6A">
        <w:rPr>
          <w:b/>
          <w:bCs/>
          <w:u w:val="single"/>
        </w:rPr>
        <w:t>5</w:t>
      </w:r>
    </w:p>
    <w:p w14:paraId="1FDFD27D" w14:textId="4290DBC0" w:rsidR="00B83E6A" w:rsidRDefault="00B83E6A" w:rsidP="00B83E6A">
      <w:r>
        <w:t>2025 war für Das Demographie Netzwerk e.V. (</w:t>
      </w:r>
      <w:proofErr w:type="spellStart"/>
      <w:r>
        <w:t>ddn</w:t>
      </w:r>
      <w:proofErr w:type="spellEnd"/>
      <w:r>
        <w:t xml:space="preserve">) ein Jahr spürbarer Weiterentwicklung und inhaltlicher Stärke. In zahlreichen Projekten, Formaten und Kooperationen wurden zentrale Themen des demografischen Wandels vorangebracht und unsere Rolle als Impulsgeber für eine zukunftsfähige Arbeitswelt weiter gefestigt. </w:t>
      </w:r>
    </w:p>
    <w:p w14:paraId="396A0C1F" w14:textId="31D22A22" w:rsidR="00B83E6A" w:rsidRDefault="00B83E6A" w:rsidP="00B83E6A">
      <w:r>
        <w:t xml:space="preserve">In der projektbezogenen Arbeit konnten New Work </w:t>
      </w:r>
      <w:proofErr w:type="spellStart"/>
      <w:r>
        <w:t>for</w:t>
      </w:r>
      <w:proofErr w:type="spellEnd"/>
      <w:r>
        <w:t xml:space="preserve"> Key Workers und SNAW – Say </w:t>
      </w:r>
      <w:proofErr w:type="spellStart"/>
      <w:r>
        <w:t>No</w:t>
      </w:r>
      <w:proofErr w:type="spellEnd"/>
      <w:r>
        <w:t xml:space="preserve"> </w:t>
      </w:r>
      <w:proofErr w:type="spellStart"/>
      <w:r>
        <w:t>To</w:t>
      </w:r>
      <w:proofErr w:type="spellEnd"/>
      <w:r>
        <w:t xml:space="preserve"> </w:t>
      </w:r>
      <w:proofErr w:type="spellStart"/>
      <w:r>
        <w:t>Ageism</w:t>
      </w:r>
      <w:proofErr w:type="spellEnd"/>
      <w:r>
        <w:t xml:space="preserve"> at </w:t>
      </w:r>
      <w:proofErr w:type="spellStart"/>
      <w:r>
        <w:t>the</w:t>
      </w:r>
      <w:proofErr w:type="spellEnd"/>
      <w:r>
        <w:t xml:space="preserve"> </w:t>
      </w:r>
      <w:proofErr w:type="spellStart"/>
      <w:r>
        <w:t>Workplace</w:t>
      </w:r>
      <w:proofErr w:type="spellEnd"/>
      <w:r>
        <w:t xml:space="preserve"> inhaltlich vertieft werden, während </w:t>
      </w:r>
      <w:proofErr w:type="spellStart"/>
      <w:r>
        <w:t>ORBiT</w:t>
      </w:r>
      <w:proofErr w:type="spellEnd"/>
      <w:r>
        <w:t xml:space="preserve"> – </w:t>
      </w:r>
      <w:r>
        <w:t>O</w:t>
      </w:r>
      <w:r>
        <w:t xml:space="preserve">rganisationaler Respekt und Basisarbeit in der Transformation planmäßig und mit überzeugenden Ergebnissen abgeschlossen wurde. Gleichzeitig wurden für 2026 zwei neue Projekte in die Wege geleitet: Mit </w:t>
      </w:r>
      <w:proofErr w:type="spellStart"/>
      <w:proofErr w:type="gramStart"/>
      <w:r>
        <w:t>ÜbergangsWeise</w:t>
      </w:r>
      <w:proofErr w:type="spellEnd"/>
      <w:proofErr w:type="gramEnd"/>
      <w:r>
        <w:t xml:space="preserve"> entstehen neue Ansätze für berufliche Perspektiven in der späten Erwerbsphase und </w:t>
      </w:r>
      <w:proofErr w:type="spellStart"/>
      <w:r>
        <w:t>SAFEspace@work</w:t>
      </w:r>
      <w:proofErr w:type="spellEnd"/>
      <w:r>
        <w:t xml:space="preserve"> stärkt die psychologische Sicherheit in der Interaktionsarbeit. </w:t>
      </w:r>
    </w:p>
    <w:p w14:paraId="1DA487C5" w14:textId="25F26178" w:rsidR="00B83E6A" w:rsidRDefault="00B83E6A" w:rsidP="00B83E6A">
      <w:r>
        <w:t xml:space="preserve">Ein weiteres zentrales Thema war die Gestaltung guter Arbeitsbedingungen für ältere Beschäftigte. Dazu wurde gemeinsam mit der Bertelsmann Stiftung die Studie „Arbeit 60+ zwischen Paragrafen und Praxis“ veröffentlicht, begleitet von einem Fachforum zur Einordnung der Ergebnisse. Zudem wurde die Pilotphase des Later Life </w:t>
      </w:r>
      <w:proofErr w:type="spellStart"/>
      <w:r>
        <w:t>Workplace</w:t>
      </w:r>
      <w:proofErr w:type="spellEnd"/>
      <w:r>
        <w:t xml:space="preserve"> Index (LLWI) abgeschlossen, nachdem der Index in drei Unternehmen erfolgreich erprobt wurde.  </w:t>
      </w:r>
    </w:p>
    <w:p w14:paraId="345E61D9" w14:textId="34AD6993" w:rsidR="00B83E6A" w:rsidRDefault="00B83E6A" w:rsidP="00B83E6A">
      <w:r>
        <w:t xml:space="preserve">Auch 2025 haben sich die </w:t>
      </w:r>
      <w:proofErr w:type="spellStart"/>
      <w:r>
        <w:t>ddn</w:t>
      </w:r>
      <w:proofErr w:type="spellEnd"/>
      <w:r>
        <w:t xml:space="preserve">-Austauschforen als Herzstück des Netzwerks erwiesen. Die Formate boten Raum für intensiven Dialog, praxisnahe Lösungsansätze und neue Perspektiven. Besonders erfreulich war die Einrichtung eines neuen </w:t>
      </w:r>
      <w:proofErr w:type="spellStart"/>
      <w:r>
        <w:t>ddn</w:t>
      </w:r>
      <w:proofErr w:type="spellEnd"/>
      <w:r>
        <w:t xml:space="preserve">-Austauschforums zu Betrieblichen Gesundheitsmanagement, das auf großes Interesse stieß und ein wichtiges Zukunftsthema adressiert. </w:t>
      </w:r>
    </w:p>
    <w:p w14:paraId="3930ECDA" w14:textId="5D3ED0EB" w:rsidR="00B83E6A" w:rsidRDefault="00B83E6A" w:rsidP="00B83E6A">
      <w:r>
        <w:t xml:space="preserve">Mit den Gesprächsreihen „Zukunft digital – Chancen für die Generation 50+“ und „Mitbestimmt 2025 – Sozialpartnerschaft heute“ konnten wir zentrale Fragen der Arbeitswelt aufgreifen. Die Formate haben nicht nur zur inhaltlichen Profilbildung beigetragen, sondern auch neue Zielgruppen im Netzwerk aktiviert. </w:t>
      </w:r>
    </w:p>
    <w:p w14:paraId="2FF35273" w14:textId="66A72F18" w:rsidR="00B83E6A" w:rsidRDefault="00B83E6A" w:rsidP="00B83E6A">
      <w:r>
        <w:t xml:space="preserve">Insgesamt blickt </w:t>
      </w:r>
      <w:proofErr w:type="spellStart"/>
      <w:r>
        <w:t>ddn</w:t>
      </w:r>
      <w:proofErr w:type="spellEnd"/>
      <w:r>
        <w:t xml:space="preserve"> auf ein erfolgreiches und wirkungsvolles Jahr zurück. Die inhaltliche Breite, die aktive Beteiligung unserer Mitglieder und die vertrauensvolle Zusammenarbeit mit Partner*innen zeigen, dass </w:t>
      </w:r>
      <w:proofErr w:type="spellStart"/>
      <w:r>
        <w:t>ddn</w:t>
      </w:r>
      <w:proofErr w:type="spellEnd"/>
      <w:r>
        <w:t xml:space="preserve"> weiterhin eine wichtige Rolle bei der Bewältigung des demografischen Wandels spielt. Gleichzeitig bleiben die Stabilisierung und Weiterentwicklung des Netzwerks eine zentrale Aufgabe, die wir gemeinsam mit unseren Mitgliedern engagiert weiterverfolgen.</w:t>
      </w:r>
    </w:p>
    <w:p w14:paraId="7B7F93C7" w14:textId="01807323" w:rsidR="00B83E6A" w:rsidRPr="00B83E6A" w:rsidRDefault="00B83E6A" w:rsidP="00B83E6A">
      <w:pPr>
        <w:rPr>
          <w:b/>
          <w:bCs/>
          <w:u w:val="single"/>
        </w:rPr>
      </w:pPr>
      <w:r w:rsidRPr="00B83E6A">
        <w:rPr>
          <w:b/>
          <w:bCs/>
          <w:u w:val="single"/>
        </w:rPr>
        <w:t>Blick auf die im Jahr 202</w:t>
      </w:r>
      <w:r w:rsidRPr="00B83E6A">
        <w:rPr>
          <w:b/>
          <w:bCs/>
          <w:u w:val="single"/>
        </w:rPr>
        <w:t>5</w:t>
      </w:r>
      <w:r w:rsidRPr="00B83E6A">
        <w:rPr>
          <w:b/>
          <w:bCs/>
          <w:u w:val="single"/>
        </w:rPr>
        <w:t xml:space="preserve"> durchgeführten Veranstaltungen</w:t>
      </w:r>
    </w:p>
    <w:p w14:paraId="0591292D" w14:textId="2DEA0097" w:rsidR="00B83E6A" w:rsidRDefault="00B83E6A" w:rsidP="00B83E6A">
      <w:r>
        <w:t>I</w:t>
      </w:r>
      <w:r w:rsidRPr="00B83E6A">
        <w:t xml:space="preserve">nsgesamt hat </w:t>
      </w:r>
      <w:proofErr w:type="spellStart"/>
      <w:r w:rsidRPr="00B83E6A">
        <w:t>ddn</w:t>
      </w:r>
      <w:proofErr w:type="spellEnd"/>
      <w:r w:rsidRPr="00B83E6A">
        <w:t xml:space="preserve"> im Jahr 2025 88 Veranstaltungen (mit-)organisiert. Darüber hinaus hat das Netzwerk ca. 30 externe Veranstaltungen selektiert und beworben.</w:t>
      </w:r>
    </w:p>
    <w:p w14:paraId="50530EF2" w14:textId="45D20EF6" w:rsidR="00B83E6A" w:rsidRDefault="00B83E6A" w:rsidP="00B83E6A">
      <w:r w:rsidRPr="00B83E6A">
        <w:t>Im Jahr 2025 konnten Austauschforen zu verschiedensten Themen angeboten werden</w:t>
      </w:r>
      <w:r>
        <w:t>:</w:t>
      </w:r>
    </w:p>
    <w:p w14:paraId="4513843F" w14:textId="563798B3" w:rsidR="00B83E6A" w:rsidRDefault="00B83E6A" w:rsidP="00B83E6A">
      <w:pPr>
        <w:pStyle w:val="Listenabsatz"/>
        <w:numPr>
          <w:ilvl w:val="0"/>
          <w:numId w:val="1"/>
        </w:numPr>
      </w:pPr>
      <w:proofErr w:type="spellStart"/>
      <w:r w:rsidRPr="00B83E6A">
        <w:lastRenderedPageBreak/>
        <w:t>Diversity</w:t>
      </w:r>
      <w:proofErr w:type="spellEnd"/>
      <w:r w:rsidRPr="00B83E6A">
        <w:t xml:space="preserve"> &amp; </w:t>
      </w:r>
      <w:proofErr w:type="spellStart"/>
      <w:r w:rsidRPr="00B83E6A">
        <w:t>Inclusion</w:t>
      </w:r>
      <w:proofErr w:type="spellEnd"/>
      <w:r w:rsidRPr="00B83E6A">
        <w:t xml:space="preserve"> </w:t>
      </w:r>
    </w:p>
    <w:p w14:paraId="3B2EBD2A" w14:textId="77777777" w:rsidR="00B83E6A" w:rsidRDefault="00B83E6A" w:rsidP="00B83E6A">
      <w:pPr>
        <w:pStyle w:val="Listenabsatz"/>
        <w:numPr>
          <w:ilvl w:val="0"/>
          <w:numId w:val="1"/>
        </w:numPr>
      </w:pPr>
      <w:r w:rsidRPr="00B83E6A">
        <w:t xml:space="preserve">Generationenmanagement </w:t>
      </w:r>
    </w:p>
    <w:p w14:paraId="08D7CDB5" w14:textId="77777777" w:rsidR="00B83E6A" w:rsidRDefault="00B83E6A" w:rsidP="00B83E6A">
      <w:pPr>
        <w:pStyle w:val="Listenabsatz"/>
        <w:numPr>
          <w:ilvl w:val="0"/>
          <w:numId w:val="1"/>
        </w:numPr>
      </w:pPr>
      <w:r w:rsidRPr="00B83E6A">
        <w:t>Doc(g)</w:t>
      </w:r>
      <w:proofErr w:type="spellStart"/>
      <w:r w:rsidRPr="00B83E6A">
        <w:t>sultant</w:t>
      </w:r>
      <w:proofErr w:type="spellEnd"/>
      <w:r w:rsidRPr="00B83E6A">
        <w:t xml:space="preserve"> </w:t>
      </w:r>
    </w:p>
    <w:p w14:paraId="497C842A" w14:textId="77777777" w:rsidR="00B83E6A" w:rsidRDefault="00B83E6A" w:rsidP="00B83E6A">
      <w:pPr>
        <w:pStyle w:val="Listenabsatz"/>
        <w:numPr>
          <w:ilvl w:val="0"/>
          <w:numId w:val="1"/>
        </w:numPr>
      </w:pPr>
      <w:r w:rsidRPr="00B83E6A">
        <w:t xml:space="preserve">Transformation der Arbeit </w:t>
      </w:r>
    </w:p>
    <w:p w14:paraId="6AE6274F" w14:textId="77777777" w:rsidR="00B83E6A" w:rsidRDefault="00B83E6A" w:rsidP="00B83E6A">
      <w:pPr>
        <w:pStyle w:val="Listenabsatz"/>
        <w:numPr>
          <w:ilvl w:val="0"/>
          <w:numId w:val="1"/>
        </w:numPr>
      </w:pPr>
      <w:r w:rsidRPr="00B83E6A">
        <w:t xml:space="preserve">Sozialwirtschaft </w:t>
      </w:r>
    </w:p>
    <w:p w14:paraId="7C653509" w14:textId="77777777" w:rsidR="00B83E6A" w:rsidRDefault="00B83E6A" w:rsidP="00B83E6A">
      <w:pPr>
        <w:pStyle w:val="Listenabsatz"/>
        <w:numPr>
          <w:ilvl w:val="0"/>
          <w:numId w:val="1"/>
        </w:numPr>
      </w:pPr>
      <w:r w:rsidRPr="00B83E6A">
        <w:t xml:space="preserve">Innovative Schichtmodelle </w:t>
      </w:r>
    </w:p>
    <w:p w14:paraId="74C70867" w14:textId="77777777" w:rsidR="00B83E6A" w:rsidRDefault="00B83E6A" w:rsidP="00B83E6A">
      <w:pPr>
        <w:pStyle w:val="Listenabsatz"/>
        <w:numPr>
          <w:ilvl w:val="0"/>
          <w:numId w:val="1"/>
        </w:numPr>
      </w:pPr>
      <w:r w:rsidRPr="00B83E6A">
        <w:t xml:space="preserve">Strategische Personalplanung+ </w:t>
      </w:r>
    </w:p>
    <w:p w14:paraId="5458B2D6" w14:textId="77777777" w:rsidR="00B83E6A" w:rsidRDefault="00B83E6A" w:rsidP="00B83E6A">
      <w:pPr>
        <w:pStyle w:val="Listenabsatz"/>
        <w:numPr>
          <w:ilvl w:val="0"/>
          <w:numId w:val="1"/>
        </w:numPr>
      </w:pPr>
      <w:r w:rsidRPr="00B83E6A">
        <w:t xml:space="preserve">Strategische Personalplanung (DACH) Zirkel + „SPP </w:t>
      </w:r>
      <w:proofErr w:type="spellStart"/>
      <w:r w:rsidRPr="00B83E6A">
        <w:t>Gamified</w:t>
      </w:r>
      <w:proofErr w:type="spellEnd"/>
      <w:r w:rsidRPr="00B83E6A">
        <w:t xml:space="preserve">“-Lernveranstaltung </w:t>
      </w:r>
    </w:p>
    <w:p w14:paraId="381E3874" w14:textId="77777777" w:rsidR="00B83E6A" w:rsidRDefault="00B83E6A" w:rsidP="00B83E6A">
      <w:pPr>
        <w:pStyle w:val="Listenabsatz"/>
        <w:numPr>
          <w:ilvl w:val="0"/>
          <w:numId w:val="1"/>
        </w:numPr>
      </w:pPr>
      <w:r w:rsidRPr="00B83E6A">
        <w:t xml:space="preserve">Wissensmanagement </w:t>
      </w:r>
    </w:p>
    <w:p w14:paraId="5D728A44" w14:textId="5C941609" w:rsidR="00B83E6A" w:rsidRDefault="00B83E6A" w:rsidP="00B83E6A">
      <w:pPr>
        <w:pStyle w:val="Listenabsatz"/>
        <w:numPr>
          <w:ilvl w:val="0"/>
          <w:numId w:val="1"/>
        </w:numPr>
      </w:pPr>
      <w:r w:rsidRPr="00B83E6A">
        <w:t>Betriebliches Gesundheitsmanagement</w:t>
      </w:r>
    </w:p>
    <w:p w14:paraId="50C2E6E8" w14:textId="77777777" w:rsidR="00B83E6A" w:rsidRPr="00B83E6A" w:rsidRDefault="00B83E6A" w:rsidP="00B83E6A">
      <w:pPr>
        <w:rPr>
          <w:b/>
          <w:bCs/>
          <w:u w:val="single"/>
        </w:rPr>
      </w:pPr>
      <w:r w:rsidRPr="00B83E6A">
        <w:rPr>
          <w:b/>
          <w:bCs/>
          <w:u w:val="single"/>
        </w:rPr>
        <w:t xml:space="preserve">Regionalnetzwerke </w:t>
      </w:r>
    </w:p>
    <w:p w14:paraId="1A15C971" w14:textId="75FC5808" w:rsidR="00B83E6A" w:rsidRDefault="00B83E6A" w:rsidP="00B83E6A">
      <w:r w:rsidRPr="00B83E6A">
        <w:t>2025 blieb die Zusammenarbeit mit unseren regionalen Netzwerken sehr aktiv, sodass zahlreiche gemeinsame Veranstaltungen realisiert wurden. Durch den Schwerpunkt auf regionale Vernetzung im Rahmen der Netzwerkkonferenz entstanden zudem wichtige Impulse zur weiteren Stärkung der regionalen Strukturen.</w:t>
      </w:r>
    </w:p>
    <w:p w14:paraId="20D97A75" w14:textId="44036823" w:rsidR="00B83E6A" w:rsidRDefault="00B83E6A" w:rsidP="00B83E6A">
      <w:pPr>
        <w:pStyle w:val="Listenabsatz"/>
        <w:numPr>
          <w:ilvl w:val="0"/>
          <w:numId w:val="3"/>
        </w:numPr>
      </w:pPr>
      <w:proofErr w:type="spellStart"/>
      <w:r w:rsidRPr="00B83E6A">
        <w:t>ddn</w:t>
      </w:r>
      <w:proofErr w:type="spellEnd"/>
      <w:r w:rsidRPr="00B83E6A">
        <w:t xml:space="preserve"> Berlin Brandenburg</w:t>
      </w:r>
    </w:p>
    <w:p w14:paraId="1573617F" w14:textId="593B1D56" w:rsidR="00B83E6A" w:rsidRDefault="00B83E6A" w:rsidP="00B83E6A">
      <w:pPr>
        <w:pStyle w:val="Listenabsatz"/>
        <w:numPr>
          <w:ilvl w:val="0"/>
          <w:numId w:val="3"/>
        </w:numPr>
      </w:pPr>
      <w:proofErr w:type="spellStart"/>
      <w:r w:rsidRPr="00B83E6A">
        <w:t>ddn</w:t>
      </w:r>
      <w:proofErr w:type="spellEnd"/>
      <w:r w:rsidRPr="00B83E6A">
        <w:t xml:space="preserve"> Hamburg</w:t>
      </w:r>
    </w:p>
    <w:p w14:paraId="1A296DC3" w14:textId="0BE2B5BD" w:rsidR="00B83E6A" w:rsidRDefault="00B83E6A" w:rsidP="00B83E6A">
      <w:pPr>
        <w:pStyle w:val="Listenabsatz"/>
        <w:numPr>
          <w:ilvl w:val="0"/>
          <w:numId w:val="3"/>
        </w:numPr>
      </w:pPr>
      <w:proofErr w:type="spellStart"/>
      <w:r w:rsidRPr="00B83E6A">
        <w:t>ddn</w:t>
      </w:r>
      <w:proofErr w:type="spellEnd"/>
      <w:r w:rsidRPr="00B83E6A">
        <w:t xml:space="preserve"> in der Metropolregion Rhein Neckar</w:t>
      </w:r>
    </w:p>
    <w:p w14:paraId="5CD1F87A" w14:textId="05B9A919" w:rsidR="00B83E6A" w:rsidRDefault="00B83E6A" w:rsidP="00B83E6A">
      <w:pPr>
        <w:pStyle w:val="Listenabsatz"/>
        <w:numPr>
          <w:ilvl w:val="0"/>
          <w:numId w:val="3"/>
        </w:numPr>
      </w:pPr>
      <w:proofErr w:type="spellStart"/>
      <w:r w:rsidRPr="00B83E6A">
        <w:t>ddn</w:t>
      </w:r>
      <w:proofErr w:type="spellEnd"/>
      <w:r w:rsidRPr="00B83E6A">
        <w:t xml:space="preserve"> Saarland </w:t>
      </w:r>
    </w:p>
    <w:p w14:paraId="2D6DD0CD" w14:textId="5A0F6054" w:rsidR="00B83E6A" w:rsidRDefault="00B83E6A" w:rsidP="00B83E6A">
      <w:pPr>
        <w:pStyle w:val="Listenabsatz"/>
        <w:numPr>
          <w:ilvl w:val="0"/>
          <w:numId w:val="3"/>
        </w:numPr>
      </w:pPr>
      <w:proofErr w:type="spellStart"/>
      <w:r w:rsidRPr="00B83E6A">
        <w:t>ddn</w:t>
      </w:r>
      <w:proofErr w:type="spellEnd"/>
      <w:r w:rsidRPr="00B83E6A">
        <w:t xml:space="preserve"> Südbaden</w:t>
      </w:r>
    </w:p>
    <w:p w14:paraId="200EF09F" w14:textId="1562061E" w:rsidR="00B83E6A" w:rsidRDefault="00B83E6A" w:rsidP="00B83E6A">
      <w:pPr>
        <w:pStyle w:val="Listenabsatz"/>
        <w:numPr>
          <w:ilvl w:val="0"/>
          <w:numId w:val="2"/>
        </w:numPr>
      </w:pPr>
      <w:proofErr w:type="spellStart"/>
      <w:r w:rsidRPr="00B83E6A">
        <w:t>ddn</w:t>
      </w:r>
      <w:proofErr w:type="spellEnd"/>
      <w:r w:rsidRPr="00B83E6A">
        <w:t xml:space="preserve"> Westpfalz</w:t>
      </w:r>
    </w:p>
    <w:p w14:paraId="43DC04B9" w14:textId="2838BDD5" w:rsidR="00B83E6A" w:rsidRDefault="00B83E6A" w:rsidP="00B83E6A">
      <w:r w:rsidRPr="00B83E6A">
        <w:t>Konkrete Pläne einer deutlichen Ausweitung und Vertiefung der vorhandenen Strukturen in Nordrhein-Westfalen, Baden-Württemberg, Berlin und Sachsen/Thüringen sowie einer Netzwerk Neugründung in Hessen.</w:t>
      </w:r>
    </w:p>
    <w:p w14:paraId="39BDDE62" w14:textId="1E15A791" w:rsidR="00B83E6A" w:rsidRPr="00411959" w:rsidRDefault="00B83E6A" w:rsidP="00B83E6A">
      <w:pPr>
        <w:rPr>
          <w:b/>
          <w:bCs/>
          <w:u w:val="single"/>
        </w:rPr>
      </w:pPr>
      <w:r w:rsidRPr="00411959">
        <w:rPr>
          <w:b/>
          <w:bCs/>
          <w:u w:val="single"/>
        </w:rPr>
        <w:t>Weitere Veranstaltungen</w:t>
      </w:r>
    </w:p>
    <w:p w14:paraId="3EC764E5" w14:textId="1481701E" w:rsidR="00B83E6A" w:rsidRDefault="00B83E6A" w:rsidP="00B83E6A">
      <w:pPr>
        <w:pStyle w:val="Listenabsatz"/>
        <w:numPr>
          <w:ilvl w:val="0"/>
          <w:numId w:val="4"/>
        </w:numPr>
      </w:pPr>
      <w:proofErr w:type="spellStart"/>
      <w:r w:rsidRPr="00B83E6A">
        <w:t>MitBestimmt</w:t>
      </w:r>
      <w:proofErr w:type="spellEnd"/>
      <w:r w:rsidRPr="00B83E6A">
        <w:t>! – Vierteilige Podiumsdiskussion zu moderner Sozialpartnerschaft</w:t>
      </w:r>
    </w:p>
    <w:p w14:paraId="594BD004" w14:textId="74E6E477" w:rsidR="00B83E6A" w:rsidRDefault="00B83E6A" w:rsidP="00B83E6A">
      <w:pPr>
        <w:pStyle w:val="Listenabsatz"/>
        <w:numPr>
          <w:ilvl w:val="0"/>
          <w:numId w:val="4"/>
        </w:numPr>
      </w:pPr>
      <w:proofErr w:type="spellStart"/>
      <w:r w:rsidRPr="00B83E6A">
        <w:t>BeKomIng</w:t>
      </w:r>
      <w:proofErr w:type="spellEnd"/>
      <w:r w:rsidRPr="00B83E6A">
        <w:t xml:space="preserve"> Digital - Veranstaltungsreihe „Zukunft Digital: Chancen für die Generation 50+“</w:t>
      </w:r>
    </w:p>
    <w:p w14:paraId="1E9FF9DD" w14:textId="54B5BCED" w:rsidR="00B83E6A" w:rsidRPr="00411959" w:rsidRDefault="00B83E6A" w:rsidP="00B83E6A">
      <w:pPr>
        <w:rPr>
          <w:b/>
          <w:bCs/>
          <w:u w:val="single"/>
        </w:rPr>
      </w:pPr>
      <w:r w:rsidRPr="00411959">
        <w:rPr>
          <w:b/>
          <w:bCs/>
          <w:u w:val="single"/>
        </w:rPr>
        <w:t xml:space="preserve">Projektförderungen / </w:t>
      </w:r>
      <w:proofErr w:type="spellStart"/>
      <w:r w:rsidRPr="00411959">
        <w:rPr>
          <w:b/>
          <w:bCs/>
          <w:u w:val="single"/>
        </w:rPr>
        <w:t>ddn</w:t>
      </w:r>
      <w:proofErr w:type="spellEnd"/>
      <w:r w:rsidRPr="00411959">
        <w:rPr>
          <w:b/>
          <w:bCs/>
          <w:u w:val="single"/>
        </w:rPr>
        <w:t xml:space="preserve">-Produkte </w:t>
      </w:r>
    </w:p>
    <w:p w14:paraId="7A415B10" w14:textId="20209EEB" w:rsidR="00B83E6A" w:rsidRPr="00411959" w:rsidRDefault="00B83E6A" w:rsidP="00B83E6A">
      <w:pPr>
        <w:rPr>
          <w:b/>
          <w:bCs/>
        </w:rPr>
      </w:pPr>
      <w:proofErr w:type="spellStart"/>
      <w:r w:rsidRPr="00411959">
        <w:rPr>
          <w:b/>
          <w:bCs/>
        </w:rPr>
        <w:t>SafeSpace@Work</w:t>
      </w:r>
      <w:proofErr w:type="spellEnd"/>
      <w:r w:rsidRPr="00411959">
        <w:rPr>
          <w:b/>
          <w:bCs/>
        </w:rPr>
        <w:t xml:space="preserve"> </w:t>
      </w:r>
    </w:p>
    <w:p w14:paraId="5F0B4627" w14:textId="6136CE5B" w:rsidR="00B83E6A" w:rsidRDefault="00B83E6A" w:rsidP="00B83E6A">
      <w:r>
        <w:t xml:space="preserve">Mit dem INQA-Experimentierraum </w:t>
      </w:r>
      <w:proofErr w:type="spellStart"/>
      <w:r>
        <w:t>SafeSpace@Work</w:t>
      </w:r>
      <w:proofErr w:type="spellEnd"/>
      <w:r>
        <w:t xml:space="preserve"> – Interaktionsarbeit sicher, achtsam, fair und einbeziehend gestalten – sollen Unternehmen dabei unterstützt werden, Interaktionsarbeit psychologisch sicherer zu gestalten und Beschäftigte insbesondere aus marginalisierten Gruppen zu stärken. Im Mittelpunkt steht die Frage, wie Arbeitsumgebungen geschaffen werden können, in denen Mitarbeitende ohne Angst vor negativen Konsequenzen offen kommunizieren, Belastungen ansprechen und sich in ihrer Vielfalt respektiert fühlen. Das Projekt entwickelt dafür gemeinsam </w:t>
      </w:r>
      <w:proofErr w:type="gramStart"/>
      <w:r>
        <w:t xml:space="preserve">mit den </w:t>
      </w:r>
      <w:r>
        <w:lastRenderedPageBreak/>
        <w:t>betrieblichen Partner</w:t>
      </w:r>
      <w:proofErr w:type="gramEnd"/>
      <w:r>
        <w:t xml:space="preserve">*innen praxisnahe Maßnahmen mit besonderem Augenmerk auf Situationen, in denen Beschäftigte täglichen emotionalen Anforderungen oder grenzüberschreitendem Verhalten ausgesetzt sind, zum Beispiel in serviceorientierten oder beratungsintensiven Rollen.  </w:t>
      </w:r>
    </w:p>
    <w:p w14:paraId="7B46640B" w14:textId="6122B2E5" w:rsidR="00B83E6A" w:rsidRPr="00411959" w:rsidRDefault="00B83E6A" w:rsidP="00B83E6A">
      <w:pPr>
        <w:rPr>
          <w:b/>
          <w:bCs/>
        </w:rPr>
      </w:pPr>
      <w:proofErr w:type="spellStart"/>
      <w:r w:rsidRPr="00411959">
        <w:rPr>
          <w:b/>
          <w:bCs/>
        </w:rPr>
        <w:t>ÜbergangsWeise</w:t>
      </w:r>
      <w:proofErr w:type="spellEnd"/>
      <w:r w:rsidRPr="00411959">
        <w:rPr>
          <w:b/>
          <w:bCs/>
        </w:rPr>
        <w:t xml:space="preserve"> – Zukunftsgespräche für KMU </w:t>
      </w:r>
    </w:p>
    <w:p w14:paraId="6E1C9C67" w14:textId="3B942474" w:rsidR="00B83E6A" w:rsidRDefault="00B83E6A" w:rsidP="00B83E6A">
      <w:r>
        <w:t xml:space="preserve">Mit dem INQA-Experimentierraum </w:t>
      </w:r>
      <w:proofErr w:type="spellStart"/>
      <w:proofErr w:type="gramStart"/>
      <w:r>
        <w:t>ÜbergangsWeise</w:t>
      </w:r>
      <w:proofErr w:type="spellEnd"/>
      <w:proofErr w:type="gramEnd"/>
      <w:r>
        <w:t xml:space="preserve"> sollen Unternehmen unterstützt werden, durch präventive, (alterns-)sensible </w:t>
      </w:r>
      <w:proofErr w:type="spellStart"/>
      <w:r>
        <w:t>Mitarbeitendengespräche</w:t>
      </w:r>
      <w:proofErr w:type="spellEnd"/>
      <w:r>
        <w:t xml:space="preserve"> berufliche Perspektiven für Beschäftigte in der letzten Erwerbsphase zu erkennen und zu schaffen. Ziel ist die Verbesserung ihrer Arbeit, Arbeitsfähigkeit und Arbeitsmotivation und damit die verstärkte Bindung an Unternehmen und Erwerbstätigkeit. Im Projekt wird ein Gesprächsleitfaden entwickelt, der ohne externe Schulung zeitnah und flexibel von Führungskräften eingesetzt werden kann. Damit soll die „Sprachlosigkeit"' überwunden werden, die laut Ergebnissen der </w:t>
      </w:r>
      <w:proofErr w:type="spellStart"/>
      <w:r>
        <w:t>lidA</w:t>
      </w:r>
      <w:proofErr w:type="spellEnd"/>
      <w:r>
        <w:t xml:space="preserve">-Studie meist zwischen den älteren Beschäftigten und ihren Vorgesetzten zum Erwerbsaustritt und den letzten Arbeitsjahren besteht. Mitarbeitende in der letzten Erwerbsphase, zum Beispiel ab 55 Jahren, sollen mit den jährlichen Gesprächen gefördert und unterstützt werden. Der Gesprächsleitfadens wird in den Experimentierräumen in der betrieblichen Anwendung erprobt, evaluiert und mit verschiedenen Maßnahmen optimiert.  </w:t>
      </w:r>
      <w:r>
        <w:t>G</w:t>
      </w:r>
      <w:r>
        <w:t xml:space="preserve">leichzeitig wird ein umfassendes Transferkonzept erarbeitet und durchgeführt, um die Unternehmen rund um das Thema letzte Erwerbsphase zu unterstützen, zu vernetzen und voneinander zu lernen.  </w:t>
      </w:r>
    </w:p>
    <w:p w14:paraId="2127BDCD" w14:textId="0CCA2EA5" w:rsidR="00B83E6A" w:rsidRPr="00411959" w:rsidRDefault="00B83E6A" w:rsidP="00B83E6A">
      <w:pPr>
        <w:rPr>
          <w:b/>
          <w:bCs/>
          <w:lang w:val="en-US"/>
        </w:rPr>
      </w:pPr>
      <w:r w:rsidRPr="00411959">
        <w:rPr>
          <w:b/>
          <w:bCs/>
          <w:lang w:val="en-US"/>
        </w:rPr>
        <w:t xml:space="preserve">SNAW – Say No </w:t>
      </w:r>
      <w:proofErr w:type="gramStart"/>
      <w:r w:rsidRPr="00411959">
        <w:rPr>
          <w:b/>
          <w:bCs/>
          <w:lang w:val="en-US"/>
        </w:rPr>
        <w:t>To</w:t>
      </w:r>
      <w:proofErr w:type="gramEnd"/>
      <w:r w:rsidRPr="00411959">
        <w:rPr>
          <w:b/>
          <w:bCs/>
          <w:lang w:val="en-US"/>
        </w:rPr>
        <w:t xml:space="preserve"> Ageism in the Workplace </w:t>
      </w:r>
    </w:p>
    <w:p w14:paraId="0186E1D1" w14:textId="4E20741C" w:rsidR="00B83E6A" w:rsidRDefault="00B83E6A" w:rsidP="00411959">
      <w:r>
        <w:t xml:space="preserve">Mit dem EU-Projekt „SNAW – Say </w:t>
      </w:r>
      <w:proofErr w:type="spellStart"/>
      <w:r>
        <w:t>No</w:t>
      </w:r>
      <w:proofErr w:type="spellEnd"/>
      <w:r>
        <w:t xml:space="preserve"> </w:t>
      </w:r>
      <w:proofErr w:type="spellStart"/>
      <w:r>
        <w:t>To</w:t>
      </w:r>
      <w:proofErr w:type="spellEnd"/>
      <w:r>
        <w:t xml:space="preserve"> </w:t>
      </w:r>
      <w:proofErr w:type="spellStart"/>
      <w:r>
        <w:t>Ageism</w:t>
      </w:r>
      <w:proofErr w:type="spellEnd"/>
      <w:r>
        <w:t xml:space="preserve"> in </w:t>
      </w:r>
      <w:proofErr w:type="spellStart"/>
      <w:r>
        <w:t>the</w:t>
      </w:r>
      <w:proofErr w:type="spellEnd"/>
      <w:r>
        <w:t xml:space="preserve"> </w:t>
      </w:r>
      <w:proofErr w:type="spellStart"/>
      <w:r>
        <w:t>Workplace</w:t>
      </w:r>
      <w:proofErr w:type="spellEnd"/>
      <w:r>
        <w:t xml:space="preserve">“ wird ein europaweites Bewusstsein für Altersdiskriminierung geschaffen und praxisnahe Ansätze entwickelt, um </w:t>
      </w:r>
      <w:proofErr w:type="spellStart"/>
      <w:r>
        <w:t>ageistische</w:t>
      </w:r>
      <w:proofErr w:type="spellEnd"/>
      <w:r>
        <w:t xml:space="preserve"> Strukturen in Organisationen abzubauen. Hintergrund ist die demografische Entwicklung in Europa: Langlebigkeit und niedrige Geburtenraten führen zu einem wachsenden Anteil älterer Menschen, die besonders häufig von altersbezogener Diskriminierung betroffen sind. Ziel des Projekts ist es, die soziale und ökonomische Teilhabe älterer Beschäftigter zu stärken und negative Auswirkungen von Ageismus auf Gesundheit, Rechte und Produktivität zu verringern. Im Zentrum von SNAW steht die Entwicklung eines digitalen, europaweit nutzbaren Online-Kurses. Dieser Kurs richtet sich an Arbeitgeber*innen sowie Arbeitnehmer*innen aller Altersgruppen und verschiedener Sektoren, darunter Unternehmen, NGOs, Bildungseinrichtungen und öffentliche Institutionen. Der Kurs vermittelt Definitionen, Erscheinungsformen und Wirkmechanismen von Ageismus sowie konkrete Handlungsstrategien für altersinklusive Arbeitskulturen. Grundlage des Lehrplans sind eine systematische Literaturübersicht und empirische Forschung in den beteiligten Ländern. </w:t>
      </w:r>
    </w:p>
    <w:p w14:paraId="28B3B7A1" w14:textId="5428121A" w:rsidR="00B83E6A" w:rsidRPr="00411959" w:rsidRDefault="00B83E6A" w:rsidP="00B83E6A">
      <w:pPr>
        <w:rPr>
          <w:b/>
          <w:bCs/>
        </w:rPr>
      </w:pPr>
      <w:proofErr w:type="spellStart"/>
      <w:r w:rsidRPr="00411959">
        <w:rPr>
          <w:b/>
          <w:bCs/>
        </w:rPr>
        <w:t>ORBiT</w:t>
      </w:r>
      <w:proofErr w:type="spellEnd"/>
      <w:r w:rsidRPr="00411959">
        <w:rPr>
          <w:b/>
          <w:bCs/>
        </w:rPr>
        <w:t xml:space="preserve"> – Organisationaler Respekt und Basisarbeit in der Transformation </w:t>
      </w:r>
    </w:p>
    <w:p w14:paraId="6BEFDA7F" w14:textId="1256EC6C" w:rsidR="00B83E6A" w:rsidRDefault="00B83E6A" w:rsidP="00411959">
      <w:r>
        <w:lastRenderedPageBreak/>
        <w:t xml:space="preserve">2025 lag der besondere Fokus auf dem Transfer. Dazu gehören u.a. ein </w:t>
      </w:r>
      <w:proofErr w:type="spellStart"/>
      <w:r>
        <w:t>rfahrungsaustausch</w:t>
      </w:r>
      <w:proofErr w:type="spellEnd"/>
      <w:r>
        <w:t xml:space="preserve"> von Unternehmen, die vierteilige digitale Dialogreihe “</w:t>
      </w:r>
      <w:proofErr w:type="gramStart"/>
      <w:r>
        <w:t>Zukunftsperspektiven</w:t>
      </w:r>
      <w:proofErr w:type="gramEnd"/>
      <w:r>
        <w:t xml:space="preserve">: Basisarbeit und Respekt im Fous” mit unterschiedlichen Expert*innen, um die Bedeutung von Basisarbeit für Politik, Gesellschaft sichtbarer zu machen sowie eine Netzwerkveranstaltung “Wissen teilen, Basisarbeit gestalten” </w:t>
      </w:r>
      <w:proofErr w:type="gramStart"/>
      <w:r>
        <w:t>bei der verschiedenen Projekte</w:t>
      </w:r>
      <w:proofErr w:type="gramEnd"/>
      <w:r>
        <w:t xml:space="preserve"> und Forschungsergebnisse zum Thema Basisarbeit präsentiert und diskutiert wurden.  </w:t>
      </w:r>
    </w:p>
    <w:p w14:paraId="7E422B74" w14:textId="1F40A31C" w:rsidR="00B83E6A" w:rsidRPr="00411959" w:rsidRDefault="00B83E6A" w:rsidP="00B83E6A">
      <w:pPr>
        <w:rPr>
          <w:b/>
          <w:bCs/>
        </w:rPr>
      </w:pPr>
      <w:r w:rsidRPr="00411959">
        <w:rPr>
          <w:b/>
          <w:bCs/>
        </w:rPr>
        <w:t xml:space="preserve">New Work </w:t>
      </w:r>
      <w:proofErr w:type="spellStart"/>
      <w:r w:rsidRPr="00411959">
        <w:rPr>
          <w:b/>
          <w:bCs/>
        </w:rPr>
        <w:t>for</w:t>
      </w:r>
      <w:proofErr w:type="spellEnd"/>
      <w:r w:rsidRPr="00411959">
        <w:rPr>
          <w:b/>
          <w:bCs/>
        </w:rPr>
        <w:t xml:space="preserve"> </w:t>
      </w:r>
      <w:proofErr w:type="spellStart"/>
      <w:r w:rsidRPr="00411959">
        <w:rPr>
          <w:b/>
          <w:bCs/>
        </w:rPr>
        <w:t>Keyworkers</w:t>
      </w:r>
      <w:proofErr w:type="spellEnd"/>
      <w:r w:rsidRPr="00411959">
        <w:rPr>
          <w:b/>
          <w:bCs/>
        </w:rPr>
        <w:t xml:space="preserve">  </w:t>
      </w:r>
    </w:p>
    <w:p w14:paraId="4DFAC05A" w14:textId="720A40E0" w:rsidR="00B83E6A" w:rsidRDefault="00B83E6A" w:rsidP="00411959">
      <w:r>
        <w:t xml:space="preserve">Das INQA-Experimentierraumprojekt New Work </w:t>
      </w:r>
      <w:proofErr w:type="spellStart"/>
      <w:r>
        <w:t>for</w:t>
      </w:r>
      <w:proofErr w:type="spellEnd"/>
      <w:r>
        <w:t xml:space="preserve"> </w:t>
      </w:r>
      <w:proofErr w:type="spellStart"/>
      <w:r>
        <w:t>Keyworkers</w:t>
      </w:r>
      <w:proofErr w:type="spellEnd"/>
      <w:r>
        <w:t xml:space="preserve"> untersuchte, wie New Work Ansätze in systemrelevanten Branchen angewendet werden können, in denen Arbeitsbedingungen oft als starr, hierarchiegebunden oder wenig flexibel gelten. Auslöser waren insbesondere die im Zuge der COVID19 Pandemie sichtbar gewordenen strukturellen Defizite in Bereichen wie Gesundheitswesen, Wasserwirtschaft, soziale Dienstleistungen, Brandschutz, Bildung, Verwaltung, Logistik und Telekommunikation.   </w:t>
      </w:r>
    </w:p>
    <w:p w14:paraId="176F59D2" w14:textId="77777777" w:rsidR="00411959" w:rsidRDefault="00B83E6A" w:rsidP="00411959">
      <w:r>
        <w:t xml:space="preserve">Ziel des Projekts war es, zukunftsfähige HR-Konzepte und praxisnahe Lösungen zu entwickeln, die die organisationale Resilienz stärken, Mitarbeitende entlasten und den Fachkräftemangel abmildern. Hierzu wurden gemeinsam mit Praxispartner*innen Handlungsempfehlungen zur Gestaltung von Arbeitsbeziehungen, Führung und Zusammenarbeit erarbeitet.  </w:t>
      </w:r>
    </w:p>
    <w:p w14:paraId="20E0094A" w14:textId="24A20F27" w:rsidR="00B83E6A" w:rsidRDefault="00B83E6A" w:rsidP="00411959">
      <w:r>
        <w:t xml:space="preserve">Über zwei Jahre hinweg führten die Projektpartner*innen qualitative Interviews, arbeitsprozessorientierte Beobachtungen und interprofessionelle Workshops durch. Insgesamt wurden Arbeitsbedingungen, Tätigkeiten und Führungskulturen aus der Perspektive von Mitarbeitenden, Führungskräften und Sozialpartner*innen untersucht.  </w:t>
      </w:r>
    </w:p>
    <w:p w14:paraId="1DA4B41A" w14:textId="21E7CE8A" w:rsidR="00B83E6A" w:rsidRDefault="00B83E6A" w:rsidP="00411959">
      <w:r>
        <w:t xml:space="preserve">Zu den zentralen Erkenntnissen des Projekts gehört, dass Resilienz in Organisationen immer ein Balanceakt ist – etwa zwischen Stabilität und Flexibilität, Autonomie und Teamprozessen, oder Gleichberechtigung und klarer Orientierung durch Führung. Diese Spannungsfelder stehen im Zentrum des Konzepts „Paradox Work“, das im Projekt weiterentwickelt und wissenschaftlich publiziert wurde: </w:t>
      </w:r>
    </w:p>
    <w:p w14:paraId="3451B165" w14:textId="636457EE" w:rsidR="00B83E6A" w:rsidRPr="00411959" w:rsidRDefault="00B83E6A" w:rsidP="00B83E6A">
      <w:pPr>
        <w:rPr>
          <w:b/>
          <w:bCs/>
        </w:rPr>
      </w:pPr>
      <w:r w:rsidRPr="00411959">
        <w:rPr>
          <w:b/>
          <w:bCs/>
        </w:rPr>
        <w:t>Demografie-Lots*</w:t>
      </w:r>
      <w:proofErr w:type="spellStart"/>
      <w:r w:rsidRPr="00411959">
        <w:rPr>
          <w:b/>
          <w:bCs/>
        </w:rPr>
        <w:t>innenausbildung</w:t>
      </w:r>
      <w:proofErr w:type="spellEnd"/>
      <w:r w:rsidRPr="00411959">
        <w:rPr>
          <w:b/>
          <w:bCs/>
        </w:rPr>
        <w:t xml:space="preserve"> </w:t>
      </w:r>
    </w:p>
    <w:p w14:paraId="039B0A2B" w14:textId="22D2ACCB" w:rsidR="00B83E6A" w:rsidRDefault="00B83E6A" w:rsidP="00411959">
      <w:r>
        <w:t>Das d</w:t>
      </w:r>
      <w:proofErr w:type="spellStart"/>
      <w:r>
        <w:t>dn</w:t>
      </w:r>
      <w:proofErr w:type="spellEnd"/>
      <w:r>
        <w:t xml:space="preserve">-Qualifizierungsangebot zum/zur Demografie-Lots*in wurde in den zwei Runden 2024/2025 und 2025 als offene Schulung mit 11 Teilnehmenden (jeweils 5 und 6) durchgeführt. In der Ausbildung werden die Teilnehmenden darauf vorbereitet, Unternehmen und Verwaltungen zu allen Fragen einer </w:t>
      </w:r>
      <w:proofErr w:type="spellStart"/>
      <w:r>
        <w:t>demografiefesten</w:t>
      </w:r>
      <w:proofErr w:type="spellEnd"/>
      <w:r>
        <w:t xml:space="preserve"> Personalpolitik kompetent beraten zu können und organisationsspezifische Maßnahmen im Demografie-Management zu entwickeln. Für die Runden ab 2024/2025 wurden die Inhalte aktualisiert, sodass die Qualifizierung jetzt die Themen Digitalisierung &amp; KI, Demokratie</w:t>
      </w:r>
      <w:r w:rsidR="00411959">
        <w:t xml:space="preserve"> </w:t>
      </w:r>
      <w:r>
        <w:t xml:space="preserve">Herausforderungen, Flexibilisierungsanforderungen, psychologische Sicherheit, Resilienz + Empowerment, Strategische Personalplanung, Generationen + </w:t>
      </w:r>
      <w:r>
        <w:lastRenderedPageBreak/>
        <w:t xml:space="preserve">Lebensphasen und Diversität einschließt. Die Ausbildung setzt sich aus Onlinemodulen, Selbstlernphasen und einem Präsenztag zusammen, sodass sie auch mühelos berufsbegleitend absolviert werden können. Die Schulungen werden von zwei Demografie-Expert*innen aus dem Netzwerk durchgeführt. </w:t>
      </w:r>
      <w:proofErr w:type="spellStart"/>
      <w:r>
        <w:t>ddn</w:t>
      </w:r>
      <w:proofErr w:type="spellEnd"/>
      <w:r>
        <w:t xml:space="preserve"> bewirbt als Träger der Qualifizierung die Ausbildung, akquiriert die Teilnehmenden und unterstützt die Trainer*innen bei der organisatorischen Abwicklung. </w:t>
      </w:r>
    </w:p>
    <w:p w14:paraId="6DE1B975" w14:textId="18C69CF4" w:rsidR="00B83E6A" w:rsidRPr="00411959" w:rsidRDefault="00B83E6A" w:rsidP="00B83E6A">
      <w:pPr>
        <w:rPr>
          <w:b/>
          <w:bCs/>
        </w:rPr>
      </w:pPr>
      <w:r w:rsidRPr="00411959">
        <w:rPr>
          <w:b/>
          <w:bCs/>
        </w:rPr>
        <w:t xml:space="preserve">LLWI – Later Life </w:t>
      </w:r>
      <w:proofErr w:type="spellStart"/>
      <w:r w:rsidRPr="00411959">
        <w:rPr>
          <w:b/>
          <w:bCs/>
        </w:rPr>
        <w:t>Workplace</w:t>
      </w:r>
      <w:proofErr w:type="spellEnd"/>
      <w:r w:rsidRPr="00411959">
        <w:rPr>
          <w:b/>
          <w:bCs/>
        </w:rPr>
        <w:t xml:space="preserve"> Index </w:t>
      </w:r>
    </w:p>
    <w:p w14:paraId="67EF8B2B" w14:textId="2AD4960D" w:rsidR="00B83E6A" w:rsidRDefault="00B83E6A" w:rsidP="00411959">
      <w:r>
        <w:t xml:space="preserve">Im Geschäftsjahr 2025 wurde die fachliche Positionierung und Sichtbarkeit des Later Life </w:t>
      </w:r>
      <w:proofErr w:type="spellStart"/>
      <w:r>
        <w:t>Workplace</w:t>
      </w:r>
      <w:proofErr w:type="spellEnd"/>
      <w:r>
        <w:t xml:space="preserve"> Index (LLWI) weiter gestärkt. Jürgen Büscher führte zwei Webinare zum LLWI mit insgesamt 45 Teilnehmenden durch. Diese trugen zur weiteren Bekanntheit und fachlichen Einordnung des Instruments bei.  Darüber hinaus wurde eine Veranstaltung speziell zum LLWI bei Gesundheit Berlin-Brandenburg e. V. durchgeführt. Dabei stellte Anna Wöhrmann die wissenschaftliche Perspektive des LLWI dar, während Ghani Baloz gemeinsam mit Uta Sadowski-Lehmann den praktischen Teil präsentierte. So wurde der LLWI sowohl theoretisch fundiert als auch praxisnah vermittelt. </w:t>
      </w:r>
    </w:p>
    <w:p w14:paraId="23EBBA61" w14:textId="1F8F06B2" w:rsidR="00B83E6A" w:rsidRPr="00411959" w:rsidRDefault="00B83E6A" w:rsidP="00B83E6A">
      <w:pPr>
        <w:rPr>
          <w:b/>
          <w:bCs/>
        </w:rPr>
      </w:pPr>
      <w:r w:rsidRPr="00411959">
        <w:rPr>
          <w:b/>
          <w:bCs/>
        </w:rPr>
        <w:t xml:space="preserve">Studie: Arbeit 60+ - zwischen Paragrafen und Praxis </w:t>
      </w:r>
    </w:p>
    <w:p w14:paraId="7EB09C18" w14:textId="655E4806" w:rsidR="00B83E6A" w:rsidRDefault="00B83E6A" w:rsidP="00411959">
      <w:r>
        <w:t xml:space="preserve">Im Auftrag der Bertelsmann Stiftung veröffentlichte </w:t>
      </w:r>
      <w:proofErr w:type="spellStart"/>
      <w:r>
        <w:t>ddn</w:t>
      </w:r>
      <w:proofErr w:type="spellEnd"/>
      <w:r>
        <w:t xml:space="preserve"> die Studie “Arbeit 60+ - zwischen Paragrafen und Praxis”. Sie macht sichtbar, vor welchen rechtlichen und betrieblichen Hürden Unternehmen bei der Beschäftigung älterer Fachkräfte stehen und zeigt, welche Faktoren die Weiter- und Wiederbeschäftigung erschweren und wie Betriebe diese Barrieren erfolgreich überwinden können. Grundlage der Untersuchung waren 17 Leitfaden gestützte Interviews mit Personalverantwortlichen aus Unternehmen aus verschiedenen Branchen und Unternehmensgrößen, ergänzt durch eine wissenschaftliche Analyse. </w:t>
      </w:r>
    </w:p>
    <w:sectPr w:rsidR="00B83E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07FC"/>
    <w:multiLevelType w:val="hybridMultilevel"/>
    <w:tmpl w:val="E0862254"/>
    <w:lvl w:ilvl="0" w:tplc="A8FECC4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8058F9"/>
    <w:multiLevelType w:val="hybridMultilevel"/>
    <w:tmpl w:val="95881F24"/>
    <w:lvl w:ilvl="0" w:tplc="A8FECC4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0E6B2F"/>
    <w:multiLevelType w:val="hybridMultilevel"/>
    <w:tmpl w:val="62003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A6F06"/>
    <w:multiLevelType w:val="hybridMultilevel"/>
    <w:tmpl w:val="7F0C7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9324690">
    <w:abstractNumId w:val="3"/>
  </w:num>
  <w:num w:numId="2" w16cid:durableId="475344340">
    <w:abstractNumId w:val="2"/>
  </w:num>
  <w:num w:numId="3" w16cid:durableId="592391">
    <w:abstractNumId w:val="1"/>
  </w:num>
  <w:num w:numId="4" w16cid:durableId="76075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6A"/>
    <w:rsid w:val="00411959"/>
    <w:rsid w:val="00B83E6A"/>
    <w:rsid w:val="00D753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E6D4"/>
  <w15:chartTrackingRefBased/>
  <w15:docId w15:val="{A24B0CC2-AB1C-4CB5-81CF-D48BB4B1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3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3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3E6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3E6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3E6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3E6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3E6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3E6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3E6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E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3E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3E6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3E6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3E6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3E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3E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3E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3E6A"/>
    <w:rPr>
      <w:rFonts w:eastAsiaTheme="majorEastAsia" w:cstheme="majorBidi"/>
      <w:color w:val="272727" w:themeColor="text1" w:themeTint="D8"/>
    </w:rPr>
  </w:style>
  <w:style w:type="paragraph" w:styleId="Titel">
    <w:name w:val="Title"/>
    <w:basedOn w:val="Standard"/>
    <w:next w:val="Standard"/>
    <w:link w:val="TitelZchn"/>
    <w:uiPriority w:val="10"/>
    <w:qFormat/>
    <w:rsid w:val="00B83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3E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3E6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3E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3E6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3E6A"/>
    <w:rPr>
      <w:i/>
      <w:iCs/>
      <w:color w:val="404040" w:themeColor="text1" w:themeTint="BF"/>
    </w:rPr>
  </w:style>
  <w:style w:type="paragraph" w:styleId="Listenabsatz">
    <w:name w:val="List Paragraph"/>
    <w:basedOn w:val="Standard"/>
    <w:uiPriority w:val="34"/>
    <w:qFormat/>
    <w:rsid w:val="00B83E6A"/>
    <w:pPr>
      <w:ind w:left="720"/>
      <w:contextualSpacing/>
    </w:pPr>
  </w:style>
  <w:style w:type="character" w:styleId="IntensiveHervorhebung">
    <w:name w:val="Intense Emphasis"/>
    <w:basedOn w:val="Absatz-Standardschriftart"/>
    <w:uiPriority w:val="21"/>
    <w:qFormat/>
    <w:rsid w:val="00B83E6A"/>
    <w:rPr>
      <w:i/>
      <w:iCs/>
      <w:color w:val="0F4761" w:themeColor="accent1" w:themeShade="BF"/>
    </w:rPr>
  </w:style>
  <w:style w:type="paragraph" w:styleId="IntensivesZitat">
    <w:name w:val="Intense Quote"/>
    <w:basedOn w:val="Standard"/>
    <w:next w:val="Standard"/>
    <w:link w:val="IntensivesZitatZchn"/>
    <w:uiPriority w:val="30"/>
    <w:qFormat/>
    <w:rsid w:val="00B83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3E6A"/>
    <w:rPr>
      <w:i/>
      <w:iCs/>
      <w:color w:val="0F4761" w:themeColor="accent1" w:themeShade="BF"/>
    </w:rPr>
  </w:style>
  <w:style w:type="character" w:styleId="IntensiverVerweis">
    <w:name w:val="Intense Reference"/>
    <w:basedOn w:val="Absatz-Standardschriftart"/>
    <w:uiPriority w:val="32"/>
    <w:qFormat/>
    <w:rsid w:val="00B83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10325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Ninon Harms</dc:creator>
  <cp:keywords/>
  <dc:description/>
  <cp:lastModifiedBy>Ninon Harms</cp:lastModifiedBy>
  <cp:revision>1</cp:revision>
  <dcterms:created xsi:type="dcterms:W3CDTF">2026-05-06T08:09:00Z</dcterms:created>
  <dcterms:modified xsi:type="dcterms:W3CDTF">2026-05-06T08:27:00Z</dcterms:modified>
</cp:coreProperties>
</file>